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1FD16D">
      <w:pPr>
        <w:pStyle w:val="14"/>
        <w:widowControl/>
        <w:rPr>
          <w:b/>
          <w:bCs/>
          <w:sz w:val="44"/>
          <w:szCs w:val="32"/>
        </w:rPr>
      </w:pPr>
      <w:r>
        <w:rPr>
          <w:b/>
          <w:bCs/>
          <w:sz w:val="44"/>
          <w:szCs w:val="32"/>
        </w:rPr>
        <w:t>建筑业100强企业申报须知</w:t>
      </w:r>
      <w:bookmarkStart w:id="0" w:name="_GoBack"/>
      <w:bookmarkEnd w:id="0"/>
    </w:p>
    <w:p w14:paraId="35AC9107"/>
    <w:p w14:paraId="6C45BE96">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✳进入申报系统后，点击左侧边栏最后一项“数据填报”开始申报。上一年度申报过百强的企业只需填当前申报年度的数据，上一年度年未申报的企业、第一次申报的企业和改名的企业需要填两年的数据。</w:t>
      </w:r>
    </w:p>
    <w:p w14:paraId="12DDB3BD">
      <w:pPr>
        <w:pStyle w:val="2"/>
        <w:widowControl/>
        <w:numPr>
          <w:ilvl w:val="0"/>
          <w:numId w:val="1"/>
        </w:numPr>
        <w:topLinePunct w:val="0"/>
        <w:ind w:left="0" w:leftChars="0" w:firstLine="0" w:firstLineChars="0"/>
        <w:rPr>
          <w:b w:val="0"/>
          <w:bdr w:val="none" w:sz="0" w:space="0"/>
        </w:rPr>
      </w:pPr>
      <w:r>
        <w:t>基本信息</w:t>
      </w:r>
    </w:p>
    <w:p w14:paraId="4E91C7CD">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企业名称</w:t>
      </w:r>
      <w:r>
        <w:rPr>
          <w:i w:val="0"/>
          <w:color w:val="auto"/>
        </w:rPr>
        <w:t>：必须填写企业全称。</w:t>
      </w:r>
    </w:p>
    <w:p w14:paraId="0E03EFC4">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数据填报人：</w:t>
      </w:r>
      <w:r>
        <w:rPr>
          <w:i w:val="0"/>
          <w:color w:val="auto"/>
        </w:rPr>
        <w:t>数据填报和与我会进行百强相关工作日常沟通，联系电话真实有效。</w:t>
      </w:r>
    </w:p>
    <w:p w14:paraId="0A2E5E56">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活动负责人：</w:t>
      </w:r>
      <w:r>
        <w:rPr>
          <w:i w:val="0"/>
          <w:color w:val="auto"/>
        </w:rPr>
        <w:t>为负责企业百强申报工作的分管领导，或者了解该项工作的部门负责人。</w:t>
      </w:r>
    </w:p>
    <w:p w14:paraId="35DF8E37">
      <w:pPr>
        <w:pStyle w:val="2"/>
        <w:widowControl/>
        <w:numPr>
          <w:ilvl w:val="0"/>
          <w:numId w:val="1"/>
        </w:numPr>
        <w:topLinePunct w:val="0"/>
        <w:ind w:left="0" w:leftChars="0" w:firstLine="0" w:firstLineChars="0"/>
        <w:rPr>
          <w:b w:val="0"/>
          <w:bdr w:val="none" w:sz="0" w:space="0"/>
        </w:rPr>
      </w:pPr>
      <w:r>
        <w:t>申报类别</w:t>
      </w:r>
    </w:p>
    <w:p w14:paraId="553E2287">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申报类型：</w:t>
      </w:r>
      <w:r>
        <w:rPr>
          <w:rStyle w:val="17"/>
          <w:b w:val="0"/>
          <w:i w:val="0"/>
          <w:color w:val="auto"/>
        </w:rPr>
        <w:t>从四川建筑业100强端口进入，系统默认勾选建筑行业，如企业申报</w:t>
      </w:r>
      <w:r>
        <w:rPr>
          <w:b w:val="0"/>
          <w:i w:val="0"/>
          <w:color w:val="auto"/>
        </w:rPr>
        <w:t>综合类，需手动勾选，申报综合类后，企业优先参加综合类排名</w:t>
      </w:r>
      <w:r>
        <w:rPr>
          <w:i w:val="0"/>
          <w:color w:val="auto"/>
        </w:rPr>
        <w:t>。</w:t>
      </w:r>
    </w:p>
    <w:p w14:paraId="0B41067B">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企业性质：</w:t>
      </w:r>
      <w:r>
        <w:rPr>
          <w:i w:val="0"/>
          <w:color w:val="auto"/>
        </w:rPr>
        <w:t>除国有和民营外，其余性质均选择其他，包括混合所有制、中外合资、设计研究所等但不包括外资独资。</w:t>
      </w:r>
    </w:p>
    <w:p w14:paraId="454428BF">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主营业务：</w:t>
      </w:r>
      <w:r>
        <w:rPr>
          <w:i w:val="0"/>
          <w:color w:val="auto"/>
        </w:rPr>
        <w:t>指企业承接的主要工程类别，按在营业收入的占比由大到小排列，不超过30字。</w:t>
      </w:r>
    </w:p>
    <w:p w14:paraId="4A83FD4C">
      <w:pPr>
        <w:pStyle w:val="2"/>
        <w:widowControl/>
        <w:numPr>
          <w:ilvl w:val="0"/>
          <w:numId w:val="1"/>
        </w:numPr>
        <w:topLinePunct w:val="0"/>
        <w:ind w:left="0" w:leftChars="0" w:firstLine="0" w:firstLineChars="0"/>
        <w:rPr>
          <w:b w:val="0"/>
          <w:bdr w:val="none" w:sz="0" w:space="0"/>
        </w:rPr>
      </w:pPr>
      <w:r>
        <w:t>数据填报</w:t>
      </w:r>
    </w:p>
    <w:p w14:paraId="12AEAC46">
      <w:pPr>
        <w:pStyle w:val="11"/>
        <w:widowControl/>
        <w:pBdr>
          <w:top w:val="none" w:color="auto" w:sz="0" w:space="0"/>
          <w:left w:val="none" w:color="auto" w:sz="0" w:space="0"/>
          <w:bottom w:val="none" w:color="auto" w:sz="0" w:space="0"/>
          <w:right w:val="none" w:color="auto" w:sz="0" w:space="0"/>
        </w:pBdr>
        <w:rPr>
          <w:color w:val="auto"/>
        </w:rPr>
      </w:pPr>
      <w:r>
        <w:rPr>
          <w:i w:val="0"/>
          <w:color w:val="auto"/>
        </w:rPr>
        <w:t>指标包括营业收入、利润总额、净利润、归属母公司净利润、资产总额、所有者权益、归属母公司所有者权益、纳税总额、研发费用、信息化投入、员工总数、海外收入、海外资产和海外员工等。所有指标均按企业合并财务报表的数据填报（保留到小数点后两位，请勿四舍五入），金额单位：万元人民币。</w:t>
      </w:r>
      <w:r>
        <w:rPr>
          <w:rStyle w:val="17"/>
          <w:b/>
          <w:i w:val="0"/>
          <w:color w:val="auto"/>
        </w:rPr>
        <w:t>若该项无数据，填“0” 。</w:t>
      </w:r>
    </w:p>
    <w:p w14:paraId="2E228E7E">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营业收入：</w:t>
      </w:r>
      <w:r>
        <w:rPr>
          <w:i w:val="0"/>
          <w:color w:val="auto"/>
        </w:rPr>
        <w:t>不含增值税收入，包括企业的所有收入，即主营业务和非主营业务、境内和境外的收入。商业银行的营业收入为利息收入与非利息营业收入之和(不减掉对应的支出)。保险公司的营业收入是保险费和年金收入扣除储蓄的资本收益或损失。</w:t>
      </w:r>
    </w:p>
    <w:p w14:paraId="29348D2C">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纳税总额：</w:t>
      </w:r>
      <w:r>
        <w:rPr>
          <w:i w:val="0"/>
          <w:color w:val="auto"/>
        </w:rPr>
        <w:t>在中国大陆境内实际缴纳的税收总额，包括增值税、消费税、营业税、企业所得税以及其他各税种税收，不包括本企业（集团）代扣代缴其他企业或个人的各种税收，也不包括教育费附加、文化事业建设费等各项非税收收入。</w:t>
      </w:r>
    </w:p>
    <w:p w14:paraId="18B78CF4">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研发费用：</w:t>
      </w:r>
      <w:r>
        <w:rPr>
          <w:i w:val="0"/>
          <w:color w:val="auto"/>
        </w:rPr>
        <w:t>指企业研究开发新产品、新技术、新工艺所发生的各项费用，包括新产品设计费、工艺规程制定费、设备调整费、原材料和半成品的实验费、技术图书资料费、研究机构人员的工资、研究设备的折旧、新产品的试制、技术研究有关的其他经费以及委托其他单位进行科研试制的费用。</w:t>
      </w:r>
    </w:p>
    <w:p w14:paraId="61910F96">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信息化投入：</w:t>
      </w:r>
      <w:r>
        <w:rPr>
          <w:i w:val="0"/>
          <w:color w:val="auto"/>
        </w:rPr>
        <w:t>年度用于企业信息化基础设施建设、软硬件研发与升级、信息化培训、物料购买、线上投放等费用。只有申报数字经济的企业必填，其余选填。</w:t>
      </w:r>
    </w:p>
    <w:p w14:paraId="03A2E2AA">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员工总数：</w:t>
      </w:r>
      <w:r>
        <w:rPr>
          <w:i w:val="0"/>
          <w:color w:val="auto"/>
        </w:rPr>
        <w:t>年末从业人数（含所有被合并报表企业的人数）。</w:t>
      </w:r>
    </w:p>
    <w:p w14:paraId="6F9D2763">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海外收入、海外资产、海外员工：</w:t>
      </w:r>
      <w:r>
        <w:rPr>
          <w:i w:val="0"/>
          <w:color w:val="auto"/>
        </w:rPr>
        <w:t>指企业在中国大陆以外的营业收入、资产、员工。海外收入以平均汇率折算,海外资产以年底汇率折算。</w:t>
      </w:r>
    </w:p>
    <w:p w14:paraId="1891E3A4">
      <w:pPr>
        <w:pStyle w:val="2"/>
        <w:widowControl/>
        <w:numPr>
          <w:ilvl w:val="0"/>
          <w:numId w:val="1"/>
        </w:numPr>
        <w:topLinePunct w:val="0"/>
        <w:ind w:left="0" w:leftChars="0" w:firstLine="0" w:firstLineChars="0"/>
        <w:rPr>
          <w:b w:val="0"/>
          <w:bdr w:val="none" w:sz="0" w:space="0"/>
        </w:rPr>
      </w:pPr>
      <w:r>
        <w:t>其他信息</w:t>
      </w:r>
    </w:p>
    <w:p w14:paraId="0BBF8BCF">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企业类型：</w:t>
      </w:r>
      <w:r>
        <w:rPr>
          <w:i w:val="0"/>
          <w:color w:val="auto"/>
        </w:rPr>
        <w:t>选择最符合企业主营业务的详细分类。与申报类型属不同统计指标。</w:t>
      </w:r>
    </w:p>
    <w:p w14:paraId="0A1D52F6">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专利数：</w:t>
      </w:r>
      <w:r>
        <w:rPr>
          <w:i w:val="0"/>
          <w:color w:val="auto"/>
        </w:rPr>
        <w:t>指有效专利。</w:t>
      </w:r>
    </w:p>
    <w:p w14:paraId="343AAC7D">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附件：</w:t>
      </w:r>
      <w:r>
        <w:rPr>
          <w:i w:val="0"/>
          <w:color w:val="auto"/>
        </w:rPr>
        <w:t>提交经由会计师事务所或审计师事务所盖章确认的年度财务报表（“资产负债表”、“利润表”、“现金流量表”）的电子版（扫描件或清晰照片）。未能提供的，需提交能够证明企业数据真实可靠的材料，如上报地方经信局、国资委、发改委或主管部门的报表（副本）或申报表(主管部门盖章） 。未提交附件一律不通过审核。如有特殊情况请备注说明</w:t>
      </w:r>
    </w:p>
    <w:p w14:paraId="4FB4B1FB">
      <w:pPr>
        <w:pStyle w:val="11"/>
        <w:widowControl/>
        <w:numPr>
          <w:ilvl w:val="0"/>
          <w:numId w:val="1"/>
        </w:numPr>
        <w:pBdr>
          <w:top w:val="none" w:color="auto" w:sz="0" w:space="0"/>
          <w:left w:val="none" w:color="auto" w:sz="0" w:space="0"/>
          <w:bottom w:val="none" w:color="auto" w:sz="0" w:space="0"/>
          <w:right w:val="none" w:color="auto" w:sz="0" w:space="0"/>
        </w:pBdr>
        <w:topLinePunct w:val="0"/>
        <w:ind w:left="0" w:leftChars="0" w:firstLine="0" w:firstLineChars="0"/>
        <w:rPr>
          <w:b/>
          <w:color w:val="auto"/>
          <w:bdr w:val="none" w:sz="0" w:space="0"/>
        </w:rPr>
      </w:pPr>
      <w:r>
        <w:rPr>
          <w:rStyle w:val="17"/>
          <w:b/>
          <w:i w:val="0"/>
          <w:color w:val="auto"/>
        </w:rPr>
        <w:t>提交数据后，工作人员会定时进行后台审核，如有任何问题，将审核不通过并注明原因。各企业请在截止日期前登录填报系统查看审核结果，若不通过请修改完善后重新提交。</w:t>
      </w:r>
    </w:p>
    <w:p w14:paraId="4A91CB61">
      <w:pPr>
        <w:pStyle w:val="11"/>
        <w:widowControl/>
        <w:pBdr>
          <w:top w:val="none" w:color="auto" w:sz="0" w:space="0"/>
          <w:left w:val="none" w:color="auto" w:sz="0" w:space="0"/>
          <w:bottom w:val="none" w:color="auto" w:sz="0" w:space="0"/>
          <w:right w:val="none" w:color="auto" w:sz="0" w:space="0"/>
        </w:pBdr>
        <w:rPr>
          <w:color w:val="auto"/>
        </w:rPr>
      </w:pPr>
      <w:r>
        <w:rPr>
          <w:rStyle w:val="17"/>
          <w:b/>
          <w:i w:val="0"/>
          <w:color w:val="auto"/>
        </w:rPr>
        <w:t>注意：2025年度建筑业百强线上申报端口4月8日00：00正式开放，截至6月30日18：00正式关闭。请抓紧时间填报。</w:t>
      </w:r>
    </w:p>
    <w:p w14:paraId="2E30403C">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138782"/>
    <w:multiLevelType w:val="singleLevel"/>
    <w:tmpl w:val="6D138782"/>
    <w:lvl w:ilvl="0" w:tentative="0">
      <w:start w:val="1"/>
      <w:numFmt w:val="chineseCounting"/>
      <w:suff w:val="nothing"/>
      <w:lvlText w:val="%1、"/>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E80B05"/>
    <w:rsid w:val="040A4B95"/>
    <w:rsid w:val="1074488D"/>
    <w:rsid w:val="18B925BE"/>
    <w:rsid w:val="1A451B07"/>
    <w:rsid w:val="2DBC04C1"/>
    <w:rsid w:val="2F6C254A"/>
    <w:rsid w:val="2FF523BB"/>
    <w:rsid w:val="3065682F"/>
    <w:rsid w:val="38874BEC"/>
    <w:rsid w:val="3D584684"/>
    <w:rsid w:val="3D836AD5"/>
    <w:rsid w:val="57382E1C"/>
    <w:rsid w:val="62A426C5"/>
    <w:rsid w:val="67BD3BD2"/>
    <w:rsid w:val="7222644B"/>
    <w:rsid w:val="74B23196"/>
    <w:rsid w:val="77C6382D"/>
    <w:rsid w:val="7BB9305A"/>
    <w:rsid w:val="7BE8743E"/>
    <w:rsid w:val="7DDE07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semiHidden/>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character" w:styleId="17">
    <w:name w:val="Strong"/>
    <w:basedOn w:val="1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1348</Words>
  <Characters>1363</Characters>
  <Lines>0</Lines>
  <Paragraphs>0</Paragraphs>
  <TotalTime>9</TotalTime>
  <ScaleCrop>false</ScaleCrop>
  <LinksUpToDate>false</LinksUpToDate>
  <CharactersWithSpaces>1365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2024-07-05T01:37:00Z</dcterms:created>
  <dc:creator>Administrator</dc:creator>
  <cp:lastModifiedBy>Administrator</cp:lastModifiedBy>
  <dcterms:modified xsi:type="dcterms:W3CDTF">2025-04-08T01:42:17Z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BD6ECDD29BC748BCBFF9A23AC00EFA2F_12</vt:lpwstr>
  </property>
  <property fmtid="{D5CDD505-2E9C-101B-9397-08002B2CF9AE}" pid="4" name="KSOTemplateDocerSaveRecord">
    <vt:lpwstr>eyJoZGlkIjoiN2JmYzYzY2M1NmRiZjk2MzY0MzRlMzFkYjA5OTNlYTgiLCJ1c2VySWQiOiIxOTE3NjAyMiJ9</vt:lpwstr>
  </property>
</Properties>
</file>